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412CC1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3497580</wp:posOffset>
            </wp:positionH>
            <wp:positionV relativeFrom="margin">
              <wp:posOffset>45720</wp:posOffset>
            </wp:positionV>
            <wp:extent cx="829310" cy="829310"/>
            <wp:effectExtent l="0" t="0" r="0" b="0"/>
            <wp:wrapSquare wrapText="bothSides"/>
            <wp:docPr id="1" name="Рисунок 1" descr="http://qrcoder.ru/code/?http%3A%2F%2Fiupr.ru%2Fblizhayshie_konferenci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iupr.ru%2Fblizhayshie_konferencii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1AC"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5028C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27 мая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0735CD">
        <w:rPr>
          <w:rFonts w:cs="Times New Roman"/>
          <w:b/>
          <w:color w:val="FF0000"/>
          <w:sz w:val="32"/>
          <w:szCs w:val="32"/>
        </w:rPr>
        <w:t>5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C2167F" w:rsidRPr="00BE2DC0" w:rsidRDefault="00C2167F" w:rsidP="004B1FFB">
      <w:pPr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412CC1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E13C69" w:rsidRPr="0089688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412CC1" w:rsidRDefault="001B511A" w:rsidP="00D26AAC">
      <w:pPr>
        <w:jc w:val="center"/>
        <w:rPr>
          <w:b/>
        </w:rPr>
      </w:pPr>
      <w:r>
        <w:rPr>
          <w:b/>
        </w:rPr>
        <w:t xml:space="preserve">СОВРЕМЕННАЯ КУЛЬТУРА КОММУНИКАЦИИ. </w:t>
      </w:r>
      <w:r w:rsidRPr="001B511A">
        <w:rPr>
          <w:b/>
        </w:rPr>
        <w:t>СОЦИОКУЛЬТУРНЫЕ ПРОЦЕССЫ В СОВРЕМЕННОМ МИРЕ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3"/>
        <w:gridCol w:w="3883"/>
      </w:tblGrid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Юридические науки</w:t>
            </w:r>
          </w:p>
        </w:tc>
        <w:tc>
          <w:tcPr>
            <w:tcW w:w="388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Филологические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Экономические науки</w:t>
            </w:r>
          </w:p>
        </w:tc>
        <w:tc>
          <w:tcPr>
            <w:tcW w:w="3883" w:type="dxa"/>
          </w:tcPr>
          <w:p w:rsidR="000017D1" w:rsidRPr="00F152DE" w:rsidRDefault="000017D1" w:rsidP="0098188F">
            <w:pPr>
              <w:rPr>
                <w:b/>
              </w:rPr>
            </w:pPr>
            <w:r>
              <w:rPr>
                <w:rFonts w:ascii="Calibri-Identity-H" w:hAnsi="Calibri-Identity-H" w:cs="Calibri-Identity-H"/>
                <w:sz w:val="22"/>
              </w:rPr>
              <w:t>Исторические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Философские науки</w:t>
            </w:r>
          </w:p>
        </w:tc>
        <w:tc>
          <w:tcPr>
            <w:tcW w:w="388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Педагогические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Психологические науки</w:t>
            </w:r>
          </w:p>
        </w:tc>
        <w:tc>
          <w:tcPr>
            <w:tcW w:w="388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Архитектура</w:t>
            </w:r>
          </w:p>
        </w:tc>
      </w:tr>
      <w:tr w:rsidR="000017D1" w:rsidTr="001B511A">
        <w:tc>
          <w:tcPr>
            <w:tcW w:w="3703" w:type="dxa"/>
          </w:tcPr>
          <w:p w:rsidR="000017D1" w:rsidRPr="005028CF" w:rsidRDefault="000017D1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Искусствоведение</w:t>
            </w:r>
          </w:p>
        </w:tc>
        <w:tc>
          <w:tcPr>
            <w:tcW w:w="3883" w:type="dxa"/>
          </w:tcPr>
          <w:p w:rsidR="000017D1" w:rsidRDefault="005028CF" w:rsidP="0098188F">
            <w:r>
              <w:rPr>
                <w:rFonts w:ascii="Calibri-Identity-H" w:hAnsi="Calibri-Identity-H" w:cs="Calibri-Identity-H"/>
                <w:sz w:val="22"/>
              </w:rPr>
              <w:t>Социологические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Pr="005028CF" w:rsidRDefault="005028CF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Культурология</w:t>
            </w:r>
          </w:p>
        </w:tc>
        <w:tc>
          <w:tcPr>
            <w:tcW w:w="3883" w:type="dxa"/>
          </w:tcPr>
          <w:p w:rsidR="000017D1" w:rsidRDefault="005028CF" w:rsidP="0098188F">
            <w:r>
              <w:rPr>
                <w:rFonts w:ascii="Calibri-Identity-H" w:hAnsi="Calibri-Identity-H" w:cs="Calibri-Identity-H"/>
                <w:sz w:val="22"/>
              </w:rPr>
              <w:t>Политические науки</w:t>
            </w:r>
          </w:p>
        </w:tc>
      </w:tr>
      <w:tr w:rsidR="005028CF" w:rsidTr="001B511A">
        <w:tc>
          <w:tcPr>
            <w:tcW w:w="3703" w:type="dxa"/>
          </w:tcPr>
          <w:p w:rsidR="005028CF" w:rsidRPr="005028CF" w:rsidRDefault="005028CF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Физико</w:t>
            </w:r>
            <w:r w:rsidRPr="005028CF">
              <w:rPr>
                <w:rFonts w:ascii="Calibri-Identity-H" w:hAnsi="Calibri-Identity-H" w:cs="Calibri-Identity-H"/>
                <w:sz w:val="22"/>
              </w:rPr>
              <w:t>-</w:t>
            </w:r>
            <w:r>
              <w:rPr>
                <w:rFonts w:ascii="Calibri-Identity-H" w:hAnsi="Calibri-Identity-H" w:cs="Calibri-Identity-H"/>
                <w:sz w:val="22"/>
              </w:rPr>
              <w:t>математические науки</w:t>
            </w:r>
          </w:p>
        </w:tc>
        <w:tc>
          <w:tcPr>
            <w:tcW w:w="3883" w:type="dxa"/>
          </w:tcPr>
          <w:p w:rsidR="005028CF" w:rsidRDefault="005028CF" w:rsidP="00AC3691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Военные науки</w:t>
            </w:r>
          </w:p>
        </w:tc>
      </w:tr>
      <w:tr w:rsidR="005028CF" w:rsidTr="001B511A">
        <w:tc>
          <w:tcPr>
            <w:tcW w:w="3703" w:type="dxa"/>
          </w:tcPr>
          <w:p w:rsidR="005028CF" w:rsidRPr="005028CF" w:rsidRDefault="005028CF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Географические науки</w:t>
            </w:r>
          </w:p>
        </w:tc>
        <w:tc>
          <w:tcPr>
            <w:tcW w:w="3883" w:type="dxa"/>
          </w:tcPr>
          <w:p w:rsidR="005028CF" w:rsidRDefault="005028CF" w:rsidP="0098188F">
            <w:r w:rsidRPr="005028CF">
              <w:rPr>
                <w:rFonts w:ascii="Calibri-Identity-H" w:hAnsi="Calibri-Identity-H" w:cs="Calibri-Identity-H"/>
                <w:sz w:val="22"/>
              </w:rPr>
              <w:t xml:space="preserve">СМИ, </w:t>
            </w:r>
            <w:proofErr w:type="spellStart"/>
            <w:proofErr w:type="gramStart"/>
            <w:r w:rsidRPr="005028CF">
              <w:rPr>
                <w:rFonts w:ascii="Calibri-Identity-H" w:hAnsi="Calibri-Identity-H" w:cs="Calibri-Identity-H"/>
                <w:sz w:val="22"/>
              </w:rPr>
              <w:t>Соц</w:t>
            </w:r>
            <w:proofErr w:type="spellEnd"/>
            <w:proofErr w:type="gramEnd"/>
            <w:r w:rsidRPr="005028CF">
              <w:rPr>
                <w:rFonts w:ascii="Calibri-Identity-H" w:hAnsi="Calibri-Identity-H" w:cs="Calibri-Identity-H"/>
                <w:sz w:val="22"/>
              </w:rPr>
              <w:t xml:space="preserve"> сети</w:t>
            </w:r>
          </w:p>
        </w:tc>
      </w:tr>
    </w:tbl>
    <w:p w:rsidR="005028CF" w:rsidRDefault="005028CF" w:rsidP="00B305C5">
      <w:pPr>
        <w:ind w:firstLine="426"/>
        <w:jc w:val="both"/>
        <w:rPr>
          <w:rFonts w:cs="Times New Roman"/>
          <w:sz w:val="24"/>
          <w:szCs w:val="24"/>
        </w:rPr>
      </w:pPr>
    </w:p>
    <w:p w:rsidR="00412CC1" w:rsidRDefault="005145C6" w:rsidP="00B305C5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5028CF" w:rsidRDefault="005145C6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="00B305C5" w:rsidRPr="00B305C5">
        <w:rPr>
          <w:rFonts w:eastAsia="Calibri" w:cs="Times New Roman"/>
          <w:b/>
          <w:sz w:val="24"/>
          <w:szCs w:val="24"/>
        </w:rPr>
        <w:t xml:space="preserve"> </w:t>
      </w:r>
    </w:p>
    <w:p w:rsidR="005028CF" w:rsidRDefault="005028CF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Издается печатный сборник</w:t>
      </w:r>
      <w:bookmarkStart w:id="0" w:name="_GoBack"/>
      <w:bookmarkEnd w:id="0"/>
    </w:p>
    <w:p w:rsidR="00412CC1" w:rsidRDefault="00F42ACE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E9562A" w:rsidRPr="00B305C5" w:rsidRDefault="00E9562A" w:rsidP="007377EB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12CC1" w:rsidRDefault="00EC0452" w:rsidP="00EC045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</w:t>
      </w:r>
      <w:r w:rsidR="003B4D3A">
        <w:rPr>
          <w:rFonts w:cs="Times New Roman"/>
          <w:b/>
          <w:sz w:val="24"/>
          <w:szCs w:val="24"/>
        </w:rPr>
        <w:t xml:space="preserve"> печатный </w:t>
      </w:r>
      <w:r>
        <w:rPr>
          <w:rFonts w:cs="Times New Roman"/>
          <w:b/>
          <w:sz w:val="24"/>
          <w:szCs w:val="24"/>
        </w:rPr>
        <w:t xml:space="preserve">сборник. </w:t>
      </w:r>
    </w:p>
    <w:p w:rsidR="00E13E17" w:rsidRPr="00E87CEC" w:rsidRDefault="000735CD" w:rsidP="00EC045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 w:rsidR="005028CF">
        <w:rPr>
          <w:rFonts w:cs="Times New Roman"/>
          <w:b/>
          <w:sz w:val="24"/>
          <w:szCs w:val="24"/>
        </w:rPr>
        <w:t>17 июня</w:t>
      </w:r>
      <w:r>
        <w:rPr>
          <w:rFonts w:cs="Times New Roman"/>
          <w:b/>
          <w:sz w:val="24"/>
          <w:szCs w:val="24"/>
        </w:rPr>
        <w:t xml:space="preserve"> 2015г.</w:t>
      </w:r>
    </w:p>
    <w:p w:rsidR="0089688C" w:rsidRDefault="0089688C" w:rsidP="0089688C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0735CD" w:rsidRPr="000735CD" w:rsidRDefault="000735CD" w:rsidP="0089688C">
      <w:pPr>
        <w:rPr>
          <w:rFonts w:cs="Times New Roman"/>
          <w:sz w:val="10"/>
          <w:szCs w:val="24"/>
        </w:rPr>
      </w:pPr>
    </w:p>
    <w:p w:rsidR="000735CD" w:rsidRDefault="0089688C" w:rsidP="000735CD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 w:rsidR="000735CD">
        <w:rPr>
          <w:rFonts w:cs="Times New Roman"/>
          <w:b/>
          <w:sz w:val="24"/>
          <w:szCs w:val="24"/>
        </w:rPr>
        <w:t>900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</w:t>
      </w:r>
      <w:r w:rsidR="000735CD">
        <w:rPr>
          <w:rFonts w:cs="Times New Roman"/>
          <w:sz w:val="24"/>
          <w:szCs w:val="24"/>
        </w:rPr>
        <w:t xml:space="preserve">атью до 5 страниц включительно. Каждая последующая страница </w:t>
      </w:r>
      <w:r w:rsidR="000735CD"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="000735CD"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</w:t>
      </w:r>
      <w:r w:rsidR="000735CD">
        <w:rPr>
          <w:rFonts w:cs="Times New Roman"/>
          <w:sz w:val="24"/>
          <w:szCs w:val="24"/>
        </w:rPr>
        <w:t xml:space="preserve">Доплата за каждого соавтора </w:t>
      </w:r>
      <w:r w:rsidR="000735CD" w:rsidRPr="000735CD">
        <w:rPr>
          <w:rFonts w:cs="Times New Roman"/>
          <w:b/>
          <w:sz w:val="24"/>
          <w:szCs w:val="24"/>
        </w:rPr>
        <w:t>120 руб</w:t>
      </w:r>
      <w:r w:rsidR="000735CD">
        <w:rPr>
          <w:rFonts w:cs="Times New Roman"/>
          <w:sz w:val="24"/>
          <w:szCs w:val="24"/>
        </w:rPr>
        <w:t>.</w:t>
      </w:r>
      <w:r w:rsidR="000735CD" w:rsidRPr="000735CD">
        <w:rPr>
          <w:rFonts w:eastAsia="Calibri" w:cs="Times New Roman"/>
          <w:sz w:val="24"/>
          <w:szCs w:val="24"/>
        </w:rPr>
        <w:t xml:space="preserve"> </w:t>
      </w:r>
      <w:r w:rsidR="000735CD"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="000735CD"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0735CD" w:rsidRDefault="000735CD" w:rsidP="000735CD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0735CD" w:rsidRDefault="000735CD" w:rsidP="000735CD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3B4D3A" w:rsidRPr="003B4D3A" w:rsidRDefault="003B4D3A" w:rsidP="000735CD">
      <w:pPr>
        <w:jc w:val="both"/>
        <w:rPr>
          <w:rFonts w:cs="Times New Roman"/>
          <w:sz w:val="8"/>
          <w:szCs w:val="24"/>
        </w:rPr>
      </w:pPr>
    </w:p>
    <w:p w:rsidR="000735CD" w:rsidRDefault="000735CD" w:rsidP="000735CD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5028CF">
        <w:rPr>
          <w:rFonts w:eastAsia="Calibri" w:cs="Times New Roman"/>
          <w:b/>
          <w:bCs/>
          <w:sz w:val="24"/>
          <w:szCs w:val="24"/>
        </w:rPr>
        <w:t>27 мая</w:t>
      </w:r>
      <w:r w:rsidRPr="003B4D3A">
        <w:rPr>
          <w:rFonts w:eastAsia="Calibri" w:cs="Times New Roman"/>
          <w:b/>
          <w:bCs/>
          <w:sz w:val="24"/>
          <w:szCs w:val="24"/>
        </w:rPr>
        <w:t xml:space="preserve"> 201</w:t>
      </w:r>
      <w:r w:rsidR="003B4D3A" w:rsidRPr="003B4D3A">
        <w:rPr>
          <w:rFonts w:eastAsia="Calibri" w:cs="Times New Roman"/>
          <w:b/>
          <w:bCs/>
          <w:sz w:val="24"/>
          <w:szCs w:val="24"/>
        </w:rPr>
        <w:t>5</w:t>
      </w:r>
      <w:r w:rsidRPr="003B4D3A">
        <w:rPr>
          <w:rFonts w:eastAsia="Calibri" w:cs="Times New Roman"/>
          <w:b/>
          <w:bCs/>
          <w:sz w:val="24"/>
          <w:szCs w:val="24"/>
        </w:rPr>
        <w:t>г.</w:t>
      </w:r>
      <w:r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89688C" w:rsidRDefault="005028CF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89688C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1F26DC" w:rsidRPr="001F26DC" w:rsidRDefault="0089688C" w:rsidP="001F26D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="001F26DC"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1F26DC" w:rsidRDefault="001F26DC" w:rsidP="001F26D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>Кор/счет: 30101810663110000900</w:t>
      </w:r>
    </w:p>
    <w:p w:rsidR="0089688C" w:rsidRDefault="0089688C" w:rsidP="001F26D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89688C" w:rsidRDefault="0089688C" w:rsidP="0089688C">
      <w:pPr>
        <w:rPr>
          <w:rFonts w:eastAsia="Times New Roman" w:cs="Times New Roman"/>
          <w:sz w:val="24"/>
          <w:szCs w:val="24"/>
          <w:lang w:eastAsia="ru-RU"/>
        </w:rPr>
      </w:pP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12CC1" w:rsidRPr="00412CC1" w:rsidRDefault="00412CC1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6" w:history="1">
        <w:r w:rsidR="005028CF" w:rsidRPr="009D7A50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5028CF" w:rsidRPr="009D7A50">
          <w:rPr>
            <w:rStyle w:val="a3"/>
            <w:rFonts w:cs="Times New Roman"/>
            <w:b/>
            <w:sz w:val="24"/>
            <w:szCs w:val="24"/>
          </w:rPr>
          <w:t>4@</w:t>
        </w:r>
        <w:r w:rsidR="005028CF" w:rsidRPr="009D7A50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5028CF" w:rsidRPr="009D7A50">
          <w:rPr>
            <w:rStyle w:val="a3"/>
            <w:rFonts w:cs="Times New Roman"/>
            <w:b/>
            <w:sz w:val="24"/>
            <w:szCs w:val="24"/>
          </w:rPr>
          <w:t>.</w:t>
        </w:r>
        <w:r w:rsidR="005028CF" w:rsidRPr="009D7A50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412CC1" w:rsidRDefault="0089688C" w:rsidP="00412CC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</w:p>
    <w:sectPr w:rsidR="00E13E17" w:rsidRPr="00412CC1" w:rsidSect="00CE4ADD">
      <w:pgSz w:w="16839" w:h="11907" w:orient="landscape" w:code="9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17D1"/>
    <w:rsid w:val="00043962"/>
    <w:rsid w:val="000441E2"/>
    <w:rsid w:val="000735CD"/>
    <w:rsid w:val="000A76AA"/>
    <w:rsid w:val="000C78E3"/>
    <w:rsid w:val="000F67D6"/>
    <w:rsid w:val="001913F4"/>
    <w:rsid w:val="001A19F7"/>
    <w:rsid w:val="001B511A"/>
    <w:rsid w:val="001D44E3"/>
    <w:rsid w:val="001F26DC"/>
    <w:rsid w:val="00254142"/>
    <w:rsid w:val="002E5740"/>
    <w:rsid w:val="002F74C2"/>
    <w:rsid w:val="00317041"/>
    <w:rsid w:val="00357984"/>
    <w:rsid w:val="003B4D3A"/>
    <w:rsid w:val="0040322D"/>
    <w:rsid w:val="00412CC1"/>
    <w:rsid w:val="004B1FFB"/>
    <w:rsid w:val="005028CF"/>
    <w:rsid w:val="005145C6"/>
    <w:rsid w:val="005261AC"/>
    <w:rsid w:val="00543B5E"/>
    <w:rsid w:val="00587EAE"/>
    <w:rsid w:val="006178DF"/>
    <w:rsid w:val="00625632"/>
    <w:rsid w:val="0065431F"/>
    <w:rsid w:val="00717BEA"/>
    <w:rsid w:val="007377EB"/>
    <w:rsid w:val="00771B6D"/>
    <w:rsid w:val="007A76EA"/>
    <w:rsid w:val="00803CF4"/>
    <w:rsid w:val="00895C50"/>
    <w:rsid w:val="0089688C"/>
    <w:rsid w:val="008E221A"/>
    <w:rsid w:val="008F3F25"/>
    <w:rsid w:val="0099205A"/>
    <w:rsid w:val="00A13185"/>
    <w:rsid w:val="00B305C5"/>
    <w:rsid w:val="00B46FB2"/>
    <w:rsid w:val="00BA6127"/>
    <w:rsid w:val="00BE0139"/>
    <w:rsid w:val="00C14BF5"/>
    <w:rsid w:val="00C2167F"/>
    <w:rsid w:val="00CC76A8"/>
    <w:rsid w:val="00CE3061"/>
    <w:rsid w:val="00CE4ADD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C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gkomitet4@yandex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19</cp:revision>
  <cp:lastPrinted>2015-03-13T06:58:00Z</cp:lastPrinted>
  <dcterms:created xsi:type="dcterms:W3CDTF">2014-10-08T08:12:00Z</dcterms:created>
  <dcterms:modified xsi:type="dcterms:W3CDTF">2015-03-30T11:09:00Z</dcterms:modified>
</cp:coreProperties>
</file>