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media/image3.png" ContentType="image/png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5" w:firstLine="709"/>
        <w:jc w:val="center"/>
        <w:rPr>
          <w:sz w:val="28"/>
          <w:b/>
          <w:sz w:val="28"/>
          <w:b/>
          <w:szCs w:val="28"/>
          <w:bCs/>
        </w:rPr>
      </w:pPr>
      <w:r>
        <w:rPr>
          <w:sz w:val="28"/>
        </w:rPr>
        <w:t>НАЗВАНИЕ СТАТЬИ МАКСИМАЛЬНО КОРОТКОЕ (ДО 10 СЛОВ, БЕЗ УЧЕТА ПРЕДЛОГОВ И АВТОРОВ ТАКСОНОВ)</w:t>
      </w:r>
      <w:r/>
    </w:p>
    <w:p>
      <w:pPr>
        <w:pStyle w:val="Normal"/>
        <w:ind w:firstLine="709"/>
        <w:jc w:val="center"/>
        <w:rPr>
          <w:sz w:val="28"/>
          <w:sz w:val="28"/>
          <w:szCs w:val="28"/>
        </w:rPr>
      </w:pPr>
      <w:r>
        <w:rPr>
          <w:sz w:val="28"/>
          <w:szCs w:val="28"/>
        </w:rPr>
        <w:t>Автор А.А.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Соавтор С.С.</w:t>
      </w:r>
      <w:r>
        <w:rPr>
          <w:sz w:val="28"/>
          <w:szCs w:val="28"/>
          <w:vertAlign w:val="superscript"/>
        </w:rPr>
        <w:t>2</w:t>
      </w:r>
      <w:r/>
    </w:p>
    <w:p>
      <w:pPr>
        <w:pStyle w:val="Normal"/>
        <w:ind w:firstLine="709"/>
        <w:jc w:val="center"/>
        <w:rPr>
          <w:caps/>
          <w:sz w:val="28"/>
          <w:sz w:val="28"/>
          <w:szCs w:val="28"/>
          <w:lang w:val="pt-BR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Полное наименование организации, включая «Федеральное государственное бюджетное и прочие прилагательные» и т.п. (в скобках официальное сокращение)</w:t>
      </w:r>
      <w:r>
        <w:rPr>
          <w:bCs/>
          <w:sz w:val="28"/>
          <w:szCs w:val="28"/>
        </w:rPr>
        <w:t>, Город, Страна,</w:t>
      </w:r>
      <w:r>
        <w:rPr>
          <w:sz w:val="28"/>
          <w:szCs w:val="28"/>
          <w:lang w:val="pt-BR"/>
        </w:rPr>
        <w:t xml:space="preserve">e-mail: </w:t>
      </w:r>
      <w:hyperlink r:id="rId2">
        <w:r>
          <w:rPr>
            <w:rStyle w:val="Style16"/>
            <w:sz w:val="28"/>
            <w:szCs w:val="28"/>
            <w:lang w:val="en-US"/>
          </w:rPr>
          <w:t>aaa</w:t>
        </w:r>
        <w:r>
          <w:rPr>
            <w:rStyle w:val="Style16"/>
            <w:sz w:val="28"/>
            <w:szCs w:val="28"/>
          </w:rPr>
          <w:t>111</w:t>
        </w:r>
        <w:r>
          <w:rPr>
            <w:rStyle w:val="Style16"/>
            <w:sz w:val="28"/>
            <w:szCs w:val="28"/>
            <w:lang w:val="pt-BR"/>
          </w:rPr>
          <w:t>@ngs.ru</w:t>
        </w:r>
      </w:hyperlink>
      <w:r>
        <w:rPr>
          <w:sz w:val="28"/>
          <w:szCs w:val="28"/>
          <w:lang w:val="pt-BR"/>
        </w:rPr>
        <w:t xml:space="preserve"> </w:t>
      </w:r>
      <w:r/>
    </w:p>
    <w:p>
      <w:pPr>
        <w:pStyle w:val="Normal"/>
        <w:ind w:firstLine="709"/>
        <w:jc w:val="center"/>
        <w:rPr>
          <w:caps/>
          <w:sz w:val="28"/>
          <w:sz w:val="28"/>
          <w:szCs w:val="28"/>
          <w:lang w:val="pt-BR"/>
        </w:rPr>
      </w:pPr>
      <w:r>
        <w:rPr>
          <w:bCs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Полное наименование организации, включая «Федеральное государственное бюджетное и прочие прилагательные» и т.п. (в скобках официальное сокращение)</w:t>
      </w:r>
      <w:r>
        <w:rPr>
          <w:bCs/>
          <w:sz w:val="28"/>
          <w:szCs w:val="28"/>
        </w:rPr>
        <w:t>, Город, Страна,</w:t>
      </w:r>
      <w:r>
        <w:rPr>
          <w:sz w:val="28"/>
          <w:szCs w:val="28"/>
          <w:lang w:val="pt-BR"/>
        </w:rPr>
        <w:t xml:space="preserve">e-mail: </w:t>
      </w:r>
      <w:hyperlink r:id="rId3">
        <w:r>
          <w:rPr>
            <w:rStyle w:val="Style16"/>
            <w:sz w:val="28"/>
            <w:szCs w:val="28"/>
            <w:lang w:val="en-US"/>
          </w:rPr>
          <w:t>abc</w:t>
        </w:r>
        <w:r>
          <w:rPr>
            <w:rStyle w:val="Style16"/>
            <w:sz w:val="28"/>
            <w:szCs w:val="28"/>
          </w:rPr>
          <w:t>_</w:t>
        </w:r>
        <w:r>
          <w:rPr>
            <w:rStyle w:val="Style16"/>
            <w:sz w:val="28"/>
            <w:szCs w:val="28"/>
            <w:lang w:val="en-US"/>
          </w:rPr>
          <w:t>kem</w:t>
        </w:r>
        <w:r>
          <w:rPr>
            <w:rStyle w:val="Style16"/>
            <w:sz w:val="28"/>
            <w:szCs w:val="28"/>
            <w:lang w:val="pt-BR"/>
          </w:rPr>
          <w:t>@mail.ru</w:t>
        </w:r>
      </w:hyperlink>
      <w:r>
        <w:rPr>
          <w:sz w:val="28"/>
          <w:szCs w:val="28"/>
          <w:lang w:val="pt-BR"/>
        </w:rPr>
        <w:t xml:space="preserve"> </w:t>
      </w:r>
      <w:r/>
    </w:p>
    <w:p>
      <w:pPr>
        <w:pStyle w:val="Normal"/>
        <w:ind w:firstLine="709"/>
        <w:jc w:val="center"/>
        <w:rPr>
          <w:sz w:val="28"/>
          <w:sz w:val="28"/>
          <w:szCs w:val="28"/>
          <w:bCs/>
          <w:rFonts w:ascii="Times New Roman" w:hAnsi="Times New Roman" w:eastAsia="Times New Roman"/>
          <w:lang w:val="pt-BR"/>
        </w:rPr>
      </w:pPr>
      <w:r>
        <w:rPr>
          <w:bCs/>
          <w:sz w:val="28"/>
          <w:szCs w:val="28"/>
          <w:lang w:val="pt-BR"/>
        </w:rPr>
      </w:r>
      <w:r/>
    </w:p>
    <w:p>
      <w:pPr>
        <w:pStyle w:val="Normal"/>
        <w:ind w:firstLine="709"/>
        <w:jc w:val="center"/>
        <w:rPr>
          <w:sz w:val="28"/>
          <w:sz w:val="28"/>
          <w:szCs w:val="28"/>
          <w:bCs/>
          <w:lang w:val="en-US"/>
        </w:rPr>
      </w:pPr>
      <w:r>
        <w:rPr>
          <w:bCs/>
          <w:sz w:val="28"/>
          <w:szCs w:val="28"/>
          <w:lang w:val="en-US"/>
        </w:rPr>
        <w:t>ENGLISH TRANSLATION OF THE TITLE OF THE ARTICLE</w:t>
      </w:r>
      <w:r/>
    </w:p>
    <w:p>
      <w:pPr>
        <w:pStyle w:val="Normal"/>
        <w:ind w:firstLine="709"/>
        <w:jc w:val="center"/>
        <w:rPr>
          <w:sz w:val="28"/>
          <w:sz w:val="28"/>
          <w:szCs w:val="28"/>
          <w:bCs/>
          <w:lang w:val="en-US"/>
        </w:rPr>
      </w:pPr>
      <w:r>
        <w:rPr>
          <w:bCs/>
          <w:sz w:val="28"/>
          <w:szCs w:val="28"/>
          <w:lang w:val="en-US"/>
        </w:rPr>
        <w:t>Avtor A.A.</w:t>
      </w:r>
      <w:r>
        <w:rPr>
          <w:bCs/>
          <w:sz w:val="28"/>
          <w:szCs w:val="28"/>
          <w:vertAlign w:val="superscript"/>
          <w:lang w:val="en-US"/>
        </w:rPr>
        <w:t>1</w:t>
      </w:r>
      <w:r>
        <w:rPr>
          <w:bCs/>
          <w:sz w:val="28"/>
          <w:szCs w:val="28"/>
          <w:lang w:val="en-US"/>
        </w:rPr>
        <w:t>, Soavtor S.S.</w:t>
      </w:r>
      <w:r>
        <w:rPr>
          <w:bCs/>
          <w:sz w:val="28"/>
          <w:szCs w:val="28"/>
          <w:vertAlign w:val="superscript"/>
          <w:lang w:val="en-US"/>
        </w:rPr>
        <w:t>2</w:t>
      </w:r>
      <w:r/>
    </w:p>
    <w:p>
      <w:pPr>
        <w:pStyle w:val="Normal"/>
        <w:ind w:firstLine="709"/>
        <w:jc w:val="center"/>
        <w:rPr>
          <w:sz w:val="28"/>
          <w:b/>
          <w:sz w:val="28"/>
          <w:b/>
          <w:szCs w:val="28"/>
          <w:bCs/>
          <w:color w:val="FF0000"/>
        </w:rPr>
      </w:pPr>
      <w:bookmarkStart w:id="0" w:name="_GoBack"/>
      <w:bookmarkEnd w:id="0"/>
      <w:r>
        <w:rPr>
          <w:b/>
          <w:bCs/>
          <w:color w:val="FF0000"/>
          <w:sz w:val="28"/>
          <w:szCs w:val="28"/>
        </w:rPr>
        <w:t>(транслитерация фамилии должна совпадать со сведениями об авторе в НЭБ, у кого зарегистрирован профиль автора, пожалуйста, проверьте соответствие написания)</w:t>
      </w:r>
      <w:r/>
    </w:p>
    <w:p>
      <w:pPr>
        <w:pStyle w:val="Normal"/>
        <w:ind w:firstLine="709"/>
        <w:jc w:val="center"/>
        <w:rPr>
          <w:sz w:val="28"/>
          <w:sz w:val="28"/>
          <w:szCs w:val="28"/>
          <w:bCs/>
          <w:rFonts w:ascii="Times New Roman" w:hAnsi="Times New Roman" w:eastAsia="Times New Roman"/>
        </w:rPr>
      </w:pPr>
      <w:bookmarkStart w:id="1" w:name="_GoBack"/>
      <w:bookmarkStart w:id="2" w:name="_GoBack"/>
      <w:bookmarkEnd w:id="2"/>
      <w:r>
        <w:rPr>
          <w:bCs/>
          <w:sz w:val="28"/>
          <w:szCs w:val="28"/>
        </w:rPr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Аннотация должна отражать содержание статьи. Максимально допустимый объем – ½ страницы. Рекомендуемое число предложений: от 3 до 7. По возможности кратко изложить основные результаты работы. Перевод аннотации на английский не требуется.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  <w:rFonts w:ascii="Times New Roman" w:hAnsi="Times New Roman" w:eastAsia="Times New Roman"/>
        </w:rPr>
      </w:pPr>
      <w:r>
        <w:rPr>
          <w:sz w:val="28"/>
          <w:szCs w:val="28"/>
        </w:rPr>
      </w:r>
      <w:r/>
    </w:p>
    <w:p>
      <w:pPr>
        <w:pStyle w:val="Normal"/>
        <w:ind w:firstLine="720"/>
        <w:jc w:val="both"/>
        <w:rPr>
          <w:sz w:val="28"/>
          <w:b/>
          <w:sz w:val="28"/>
          <w:b/>
          <w:szCs w:val="28"/>
          <w:bCs/>
        </w:rPr>
      </w:pPr>
      <w:r>
        <w:rPr>
          <w:bCs/>
          <w:sz w:val="28"/>
          <w:szCs w:val="28"/>
        </w:rPr>
        <w:t>Ключевые слова: основные термины и словосочетания, отражают содержание, разделяются запятой, не более 7.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  <w:rFonts w:ascii="Times New Roman" w:hAnsi="Times New Roman" w:eastAsia="Times New Roman"/>
        </w:rPr>
      </w:pPr>
      <w:r>
        <w:rPr>
          <w:sz w:val="28"/>
          <w:szCs w:val="28"/>
        </w:rPr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Текст статьи в формате А4, гарнитура TimesNewRoman, 14 кегль, одинарный межстрочный интервал, поля по 2.5 см со всех сторон. Абзацный отступ 1,25 см.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В тексте и ключевых словах обязательно упоминание латинского названия изучаемого таксона. Латинские названия выделяются курсивом. При первом упоминании приводится автор таксона: </w:t>
      </w:r>
      <w:r>
        <w:rPr>
          <w:bCs/>
          <w:i/>
          <w:sz w:val="28"/>
          <w:szCs w:val="28"/>
        </w:rPr>
        <w:t xml:space="preserve">Leonurus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., </w:t>
      </w:r>
      <w:r>
        <w:rPr>
          <w:bCs/>
          <w:i/>
          <w:sz w:val="28"/>
          <w:szCs w:val="28"/>
        </w:rPr>
        <w:t xml:space="preserve">Hypericum perforatum </w:t>
      </w:r>
      <w:r>
        <w:rPr>
          <w:bCs/>
          <w:sz w:val="28"/>
          <w:szCs w:val="28"/>
        </w:rPr>
        <w:t xml:space="preserve">L., </w:t>
      </w:r>
      <w:r>
        <w:rPr>
          <w:bCs/>
          <w:i/>
          <w:sz w:val="28"/>
          <w:szCs w:val="28"/>
        </w:rPr>
        <w:t>Echinacea purpurea</w:t>
      </w:r>
      <w:r>
        <w:rPr>
          <w:bCs/>
          <w:sz w:val="28"/>
          <w:szCs w:val="28"/>
        </w:rPr>
        <w:t xml:space="preserve"> (L.) Moench.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Таблицы должны быть набраны в тексте без использования фона. В таблицах и рисунках - шрифт 12. 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  <w:rFonts w:ascii="Times New Roman" w:hAnsi="Times New Roman" w:eastAsia="Times New Roman"/>
        </w:rPr>
      </w:pPr>
      <w:r>
        <w:rPr>
          <w:sz w:val="28"/>
          <w:szCs w:val="28"/>
        </w:rPr>
      </w:r>
      <w:r/>
    </w:p>
    <w:p>
      <w:pPr>
        <w:pStyle w:val="Normal"/>
        <w:ind w:firstLine="709"/>
        <w:jc w:val="right"/>
        <w:rPr>
          <w:sz w:val="28"/>
          <w:sz w:val="28"/>
          <w:szCs w:val="28"/>
        </w:rPr>
      </w:pPr>
      <w:r>
        <w:rPr>
          <w:sz w:val="28"/>
          <w:szCs w:val="28"/>
        </w:rPr>
        <w:t>Таблица 1.</w:t>
      </w:r>
      <w:r/>
    </w:p>
    <w:p>
      <w:pPr>
        <w:pStyle w:val="Normal"/>
        <w:ind w:firstLine="709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Название таблицы выделяется полужирным шрифтом</w:t>
      </w:r>
      <w:r/>
    </w:p>
    <w:tbl>
      <w:tblPr>
        <w:tblW w:w="960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1984"/>
        <w:gridCol w:w="3687"/>
      </w:tblGrid>
      <w:tr>
        <w:trPr/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Требование</w:t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ограничение</w:t>
            </w:r>
            <w:r/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примечания</w:t>
            </w:r>
            <w:r/>
          </w:p>
        </w:tc>
      </w:tr>
      <w:tr>
        <w:trPr/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Шрифт в таблицах</w:t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12 кегль</w:t>
            </w:r>
            <w:r/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не менее!</w:t>
            </w:r>
            <w:r/>
          </w:p>
        </w:tc>
      </w:tr>
      <w:tr>
        <w:trPr/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 xml:space="preserve">Интервалы </w:t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нет</w:t>
            </w:r>
            <w:r/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 xml:space="preserve">Абзацный отступ </w:t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нет</w:t>
            </w:r>
            <w:r/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 xml:space="preserve">Выделение в таблицах </w:t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латынь – курсив</w:t>
            </w:r>
            <w:r/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полужирный нежелателен!</w:t>
            </w:r>
            <w:r/>
          </w:p>
        </w:tc>
      </w:tr>
    </w:tbl>
    <w:p>
      <w:pPr>
        <w:pStyle w:val="Normal"/>
        <w:ind w:firstLine="720"/>
        <w:jc w:val="both"/>
        <w:rPr>
          <w:sz w:val="28"/>
          <w:sz w:val="28"/>
          <w:szCs w:val="28"/>
          <w:rFonts w:ascii="Times New Roman" w:hAnsi="Times New Roman" w:eastAsia="Times New Roman"/>
        </w:rPr>
      </w:pPr>
      <w:r>
        <w:rPr>
          <w:sz w:val="28"/>
          <w:szCs w:val="28"/>
        </w:rPr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Рисунки, диаграммы и графики (</w:t>
      </w:r>
      <w:r>
        <w:rPr>
          <w:sz w:val="28"/>
          <w:szCs w:val="28"/>
          <w:u w:val="single"/>
        </w:rPr>
        <w:t>только черно-белые</w:t>
      </w:r>
      <w:r>
        <w:rPr>
          <w:sz w:val="28"/>
          <w:szCs w:val="28"/>
        </w:rPr>
        <w:t>) должны быть предоставлены в тексте и отдельными файлами. Название рисунка располагается снизу, после него обязательна пустая строка (без заполнения пробелами).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  <w:rFonts w:ascii="Times New Roman" w:hAnsi="Times New Roman" w:eastAsia="Times New Roman"/>
        </w:rPr>
      </w:pPr>
      <w:r>
        <w:rPr>
          <w:sz w:val="28"/>
          <w:szCs w:val="28"/>
        </w:rPr>
      </w:r>
      <w:r/>
    </w:p>
    <w:p>
      <w:pPr>
        <w:pStyle w:val="Normal"/>
        <w:jc w:val="center"/>
        <w:rPr>
          <w:sz w:val="28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1240155" cy="124015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39480" cy="123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97.55pt;height:97.55pt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809875" cy="876300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2809080" cy="875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21.15pt;height:68.9pt">
                <v:imagedata r:id="rId7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ind w:firstLine="709"/>
        <w:jc w:val="both"/>
        <w:rPr>
          <w:sz w:val="28"/>
          <w:sz w:val="28"/>
          <w:szCs w:val="28"/>
          <w:bCs/>
        </w:rPr>
      </w:pPr>
      <w:r>
        <w:rPr>
          <w:bCs/>
          <w:sz w:val="28"/>
          <w:szCs w:val="28"/>
        </w:rPr>
        <w:t>Рис. 1. Название рисунков должно отражать содержание, шрифтом не выделяется (можно привести краткие пояснения: слева – эмблема конференции, справа – памятка для автора).</w:t>
      </w:r>
      <w:r/>
    </w:p>
    <w:p>
      <w:pPr>
        <w:pStyle w:val="Normal"/>
        <w:ind w:firstLine="709"/>
        <w:jc w:val="both"/>
      </w:pPr>
      <w:r>
        <w:rPr>
          <w:bCs/>
          <w:u w:val="single"/>
        </w:rPr>
        <w:t>Примечание</w:t>
      </w:r>
      <w:r>
        <w:rPr>
          <w:bCs/>
        </w:rPr>
        <w:t>: при большом количестве подрисуночных подписей их необходимо привести в примечании 12 кеглем. Условные обозначения должны соответствовать обозначениям на рисунке.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  <w:rFonts w:ascii="Times New Roman" w:hAnsi="Times New Roman" w:eastAsia="Times New Roman"/>
        </w:rPr>
      </w:pPr>
      <w:r>
        <w:rPr>
          <w:sz w:val="28"/>
          <w:szCs w:val="28"/>
        </w:rPr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Рисунки должны быть предоставлены в полиграфическом качестве - 300 dpi (точек на дюйм) в форматах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TIFF</w:t>
      </w:r>
      <w:r>
        <w:rPr>
          <w:sz w:val="28"/>
          <w:szCs w:val="28"/>
        </w:rPr>
        <w:t>. Диаграммы и графики должны быть продублированы в Excel отдельными файлами.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b/>
          <w:sz w:val="28"/>
          <w:szCs w:val="28"/>
        </w:rPr>
        <w:t xml:space="preserve">Разделы и логические части статьи выделяются полужирным шрифтом без отрыва от предыдущего раздела. </w:t>
      </w:r>
      <w:r>
        <w:rPr>
          <w:sz w:val="28"/>
          <w:szCs w:val="28"/>
        </w:rPr>
        <w:t>Дальнейший текст продолжается с той же строки. Допустимые разделы: материалы и методы, результаты и их обсуждение, заключение (выводы). В случае обзорного материала – согласно содержанию частей (не менее 2/3 страницы текста на каждую выделенную часть).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Список литературы оформляется по ГОСТ Р 7.0.5 2008, приводится </w:t>
      </w:r>
      <w:r>
        <w:rPr>
          <w:sz w:val="28"/>
          <w:szCs w:val="28"/>
          <w:u w:val="single"/>
        </w:rPr>
        <w:t>в алфавитном порядке,</w:t>
      </w:r>
      <w:r>
        <w:rPr>
          <w:sz w:val="28"/>
          <w:szCs w:val="28"/>
        </w:rPr>
        <w:t xml:space="preserve"> ссылки на литературные источники цифрами в квадратных скобках. Русскоязычные источники приводятся в начале списка. Пример оформления литературы приведен ниже. В качестве разделителя используется точка. Для книг название издательства указывать обязательно. Страницы для статей и глав приводятся через короткое тире без пробелов: С. 11-22. Все авторы приводятся в полном составе в начале библиографической ссылки, инициалы для каждого размещаются после фамилии.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При необходимости оформления маркированного списка просим не использовать экзотические маркеры. Приветствуются маркеры</w:t>
      </w:r>
      <w:r/>
    </w:p>
    <w:p>
      <w:pPr>
        <w:pStyle w:val="Normal"/>
        <w:numPr>
          <w:ilvl w:val="0"/>
          <w:numId w:val="2"/>
        </w:numPr>
        <w:ind w:left="0" w:hanging="36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Точка</w:t>
      </w:r>
      <w:r/>
    </w:p>
    <w:p>
      <w:pPr>
        <w:pStyle w:val="Normal"/>
        <w:numPr>
          <w:ilvl w:val="1"/>
          <w:numId w:val="1"/>
        </w:numPr>
        <w:ind w:left="0" w:hanging="36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Тире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За достоверность представленных материалов ответственность несет автор публикации.</w:t>
      </w:r>
      <w:r/>
    </w:p>
    <w:p>
      <w:pPr>
        <w:pStyle w:val="Normal"/>
        <w:ind w:firstLine="72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Все материалы, не соответствующие вышеперечисленным требованиям будут возвращены авторам на доработку.</w:t>
      </w:r>
      <w:r/>
    </w:p>
    <w:p>
      <w:pPr>
        <w:pStyle w:val="Normal"/>
        <w:ind w:firstLine="709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В конце приводятся сведения о финансовой поддержке работы (при наличии поддержки фондами обязательно).</w:t>
      </w:r>
      <w:r/>
    </w:p>
    <w:p>
      <w:pPr>
        <w:pStyle w:val="Normal"/>
        <w:ind w:firstLine="709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Оргкомитет оставляет за собой право отклонить представленный материал в том случае, если он не соответствует проблематике конференции или содержит грубые ошибки.</w:t>
      </w:r>
      <w:r/>
    </w:p>
    <w:p>
      <w:pPr>
        <w:pStyle w:val="Normal"/>
        <w:jc w:val="center"/>
        <w:rPr>
          <w:sz w:val="28"/>
          <w:sz w:val="28"/>
          <w:szCs w:val="28"/>
          <w:bCs/>
        </w:rPr>
      </w:pPr>
      <w:r>
        <w:rPr>
          <w:bCs/>
          <w:sz w:val="28"/>
          <w:szCs w:val="28"/>
        </w:rPr>
        <w:t>Литература</w:t>
      </w:r>
      <w:r/>
    </w:p>
    <w:p>
      <w:pPr>
        <w:pStyle w:val="Style19"/>
        <w:numPr>
          <w:ilvl w:val="0"/>
          <w:numId w:val="3"/>
        </w:numPr>
        <w:shd w:val="clear" w:color="auto" w:themeColor="" w:themeTint="" w:themeShade="" w:fill="FFFFFF" w:themeFill="" w:themeFillTint="" w:themeFillShade=""/>
        <w:tabs>
          <w:tab w:val="left" w:pos="993" w:leader="none"/>
        </w:tabs>
        <w:spacing w:before="0" w:after="0"/>
        <w:ind w:left="0" w:hanging="990"/>
        <w:jc w:val="both"/>
        <w:rPr>
          <w:caps/>
          <w:sz w:val="28"/>
          <w:sz w:val="28"/>
          <w:szCs w:val="28"/>
        </w:rPr>
      </w:pPr>
      <w:r>
        <w:rPr>
          <w:sz w:val="28"/>
          <w:szCs w:val="28"/>
        </w:rPr>
        <w:t>Автор А. А. Название диссертации</w:t>
      </w:r>
      <w:r>
        <w:rPr>
          <w:caps/>
          <w:sz w:val="28"/>
          <w:szCs w:val="28"/>
        </w:rPr>
        <w:t>. а</w:t>
      </w:r>
      <w:r>
        <w:rPr>
          <w:sz w:val="28"/>
          <w:szCs w:val="28"/>
        </w:rPr>
        <w:t>втореф. дисс. … канд. фармац. наук.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Москва, 2011. 25 с.</w:t>
      </w:r>
      <w:r/>
    </w:p>
    <w:p>
      <w:pPr>
        <w:pStyle w:val="Normal"/>
        <w:numPr>
          <w:ilvl w:val="0"/>
          <w:numId w:val="3"/>
        </w:numPr>
        <w:tabs>
          <w:tab w:val="left" w:pos="993" w:leader="none"/>
        </w:tabs>
        <w:ind w:left="0" w:hanging="99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Андрианова Ю.С., Тарчевский И.А. Хлорофилл и продуктивность растений. М.: Наука, 2000. 136 с.</w:t>
      </w:r>
      <w:r/>
    </w:p>
    <w:p>
      <w:pPr>
        <w:pStyle w:val="Style19"/>
        <w:numPr>
          <w:ilvl w:val="0"/>
          <w:numId w:val="3"/>
        </w:numPr>
        <w:shd w:val="clear" w:color="auto" w:themeColor="" w:themeTint="" w:themeShade="" w:fill="FFFFFF" w:themeFill="" w:themeFillTint="" w:themeFillShade=""/>
        <w:tabs>
          <w:tab w:val="left" w:pos="993" w:leader="none"/>
        </w:tabs>
        <w:spacing w:before="0" w:after="0"/>
        <w:ind w:left="0" w:hanging="990"/>
        <w:jc w:val="both"/>
        <w:rPr>
          <w:caps/>
          <w:sz w:val="28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мире трав: [Электрон. ресурс] // Яснотка белая, лечение ясноткой. URl: </w:t>
      </w:r>
      <w:hyperlink r:id="rId8">
        <w:r>
          <w:rPr>
            <w:rStyle w:val="Style16"/>
            <w:sz w:val="28"/>
            <w:szCs w:val="28"/>
          </w:rPr>
          <w:t>http://www.vmiretrav.ru/travi/yasnotka.html</w:t>
        </w:r>
      </w:hyperlink>
      <w:r>
        <w:rPr>
          <w:sz w:val="28"/>
          <w:szCs w:val="28"/>
        </w:rPr>
        <w:t xml:space="preserve"> (Дата обращения: 17.02.2013).</w:t>
      </w:r>
      <w:r/>
    </w:p>
    <w:p>
      <w:pPr>
        <w:pStyle w:val="ListParagraph"/>
        <w:numPr>
          <w:ilvl w:val="0"/>
          <w:numId w:val="3"/>
        </w:numPr>
        <w:tabs>
          <w:tab w:val="left" w:pos="993" w:leader="none"/>
          <w:tab w:val="left" w:pos="1584" w:leader="none"/>
        </w:tabs>
        <w:spacing w:lineRule="auto" w:line="240" w:before="0" w:after="0"/>
        <w:ind w:left="0" w:hanging="99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Государственная фармакопея СССР: Вып. 2. Общие методы анализа. Лекарственное растительное сырье. / 11-е изд. М.: Медицина, 1990. 400 с.</w:t>
      </w:r>
      <w:r/>
    </w:p>
    <w:p>
      <w:pPr>
        <w:pStyle w:val="Normal"/>
        <w:numPr>
          <w:ilvl w:val="0"/>
          <w:numId w:val="3"/>
        </w:numPr>
        <w:tabs>
          <w:tab w:val="left" w:pos="993" w:leader="none"/>
        </w:tabs>
        <w:ind w:left="0" w:hanging="990"/>
        <w:jc w:val="both"/>
        <w:rPr>
          <w:sz w:val="28"/>
          <w:sz w:val="28"/>
          <w:szCs w:val="28"/>
          <w:lang w:val="en-US"/>
        </w:rPr>
      </w:pPr>
      <w:r>
        <w:rPr>
          <w:sz w:val="28"/>
          <w:szCs w:val="28"/>
        </w:rPr>
        <w:t>Минаева В.Г. Теоретические и практические аспекты биохимического изучения лекарственных растений Сибири при интродукции // Ускорение интродукции растений Сибири: задачи и методы: Сб. науч. тр. Новосибирск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Наука</w:t>
      </w:r>
      <w:r>
        <w:rPr>
          <w:sz w:val="28"/>
          <w:szCs w:val="28"/>
          <w:lang w:val="en-US"/>
        </w:rPr>
        <w:t xml:space="preserve">, 1989.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97-103.</w:t>
      </w:r>
      <w:r/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hanging="99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Jurd L. Aluminum complexes of phenolic flavones. Spectral and structural correlations // Phytochemistry. </w:t>
      </w:r>
      <w:r>
        <w:rPr>
          <w:rFonts w:ascii="Times New Roman" w:hAnsi="Times New Roman"/>
          <w:sz w:val="28"/>
          <w:szCs w:val="28"/>
        </w:rPr>
        <w:t xml:space="preserve">1969. </w:t>
      </w:r>
      <w:r>
        <w:rPr>
          <w:rFonts w:ascii="Times New Roman" w:hAnsi="Times New Roman"/>
          <w:sz w:val="28"/>
          <w:szCs w:val="28"/>
          <w:lang w:val="en-US"/>
        </w:rPr>
        <w:t>Vol</w:t>
      </w:r>
      <w:r>
        <w:rPr>
          <w:rFonts w:ascii="Times New Roman" w:hAnsi="Times New Roman"/>
          <w:sz w:val="28"/>
          <w:szCs w:val="28"/>
        </w:rPr>
        <w:t xml:space="preserve">. 8.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 445-462.</w:t>
      </w:r>
      <w:r/>
    </w:p>
    <w:p>
      <w:pPr>
        <w:pStyle w:val="PlainText"/>
        <w:numPr>
          <w:ilvl w:val="0"/>
          <w:numId w:val="3"/>
        </w:numPr>
        <w:tabs>
          <w:tab w:val="left" w:pos="993" w:leader="none"/>
        </w:tabs>
        <w:ind w:left="0" w:hanging="990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Wintermans J.F.G.M., De Mots A. Spectrophotometric characteristics of chlorophylls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 xml:space="preserve"> and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en-US"/>
        </w:rPr>
        <w:t xml:space="preserve"> and their phenophytins in ethanol // Biochimica et Biophysica Acta - Biophysics including Photosynthesis. </w:t>
      </w:r>
      <w:r>
        <w:rPr>
          <w:rFonts w:ascii="Times New Roman" w:hAnsi="Times New Roman"/>
          <w:sz w:val="28"/>
          <w:szCs w:val="28"/>
        </w:rPr>
        <w:t xml:space="preserve">1965. </w:t>
      </w:r>
      <w:r>
        <w:rPr>
          <w:rFonts w:ascii="Times New Roman" w:hAnsi="Times New Roman"/>
          <w:sz w:val="28"/>
          <w:szCs w:val="28"/>
          <w:lang w:val="en-US"/>
        </w:rPr>
        <w:t>Vol</w:t>
      </w:r>
      <w:r>
        <w:rPr>
          <w:rFonts w:ascii="Times New Roman" w:hAnsi="Times New Roman"/>
          <w:sz w:val="28"/>
          <w:szCs w:val="28"/>
        </w:rPr>
        <w:t xml:space="preserve">. 109.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2.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 448-453.</w:t>
      </w:r>
      <w:r/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8"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9684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link w:val="a3"/>
    <w:uiPriority w:val="99"/>
    <w:semiHidden/>
    <w:rsid w:val="0039684c"/>
    <w:rPr>
      <w:rFonts w:ascii="Tahoma" w:hAnsi="Tahoma" w:eastAsia="Times New Roman" w:cs="Tahoma"/>
      <w:sz w:val="16"/>
      <w:szCs w:val="16"/>
      <w:lang w:eastAsia="ru-RU"/>
    </w:rPr>
  </w:style>
  <w:style w:type="character" w:styleId="Appleconvertedspace" w:customStyle="1">
    <w:name w:val="apple-converted-space"/>
    <w:rsid w:val="00dc7bd9"/>
    <w:rPr/>
  </w:style>
  <w:style w:type="character" w:styleId="Style15" w:customStyle="1">
    <w:name w:val="Основной текст Знак"/>
    <w:link w:val="a5"/>
    <w:rsid w:val="00ce75e9"/>
    <w:rPr>
      <w:rFonts w:ascii="Times New Roman" w:hAnsi="Times New Roman" w:eastAsia="Times New Roman"/>
      <w:sz w:val="24"/>
      <w:szCs w:val="24"/>
    </w:rPr>
  </w:style>
  <w:style w:type="character" w:styleId="Style16">
    <w:name w:val="Интернет-ссылка"/>
    <w:uiPriority w:val="99"/>
    <w:unhideWhenUsed/>
    <w:rsid w:val="001f627e"/>
    <w:rPr>
      <w:color w:val="0000FF"/>
      <w:u w:val="single"/>
      <w:lang w:val="zxx" w:eastAsia="zxx" w:bidi="zxx"/>
    </w:rPr>
  </w:style>
  <w:style w:type="character" w:styleId="Style17" w:customStyle="1">
    <w:name w:val="Текст Знак"/>
    <w:link w:val="aa"/>
    <w:uiPriority w:val="99"/>
    <w:rsid w:val="00c95b01"/>
    <w:rPr>
      <w:rFonts w:ascii="Courier New" w:hAnsi="Courier New" w:eastAsia="SimSun" w:cs="Courier New"/>
      <w:lang w:eastAsia="zh-CN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link w:val="a6"/>
    <w:rsid w:val="00ce75e9"/>
    <w:pPr>
      <w:spacing w:lineRule="auto" w:line="288" w:before="0" w:after="12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39684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5e9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PlainText">
    <w:name w:val="Plain Text"/>
    <w:basedOn w:val="Normal"/>
    <w:link w:val="ab"/>
    <w:uiPriority w:val="99"/>
    <w:rsid w:val="00c95b01"/>
    <w:pPr/>
    <w:rPr>
      <w:rFonts w:ascii="Courier New" w:hAnsi="Courier New" w:eastAsia="SimSun" w:cs="Courier New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e6aaf"/>
    <w:rPr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aa111@ngs.ru" TargetMode="External"/><Relationship Id="rId3" Type="http://schemas.openxmlformats.org/officeDocument/2006/relationships/hyperlink" Target="mailto:abc_kem@mail.ru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yperlink" Target="http://www.vmiretrav.ru/travi/yasnotka.html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FD44-57D3-431D-8B6F-CD5D1068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LibreOffice/4.3.2.2$Windows_x86 LibreOffice_project/edfb5295ba211bd31ad47d0bad0118690f76407d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2015-03-04T05:47:00Z</dcterms:created>
  <dc:creator>User</dc:creator>
  <dc:language>ru-RU</dc:language>
  <cp:lastModifiedBy>kaf</cp:lastModifiedBy>
  <dcterms:modified xsi:type="dcterms:W3CDTF">2015-03-12T11:25:00Z</dcterms:modified>
  <cp:revision>23</cp:revision>
  <dc:title>СПЕКТРОФОТОМЕТРИЧЕСКИЙ ПОДХОД К ИЗУЧЕНИЮ СОДЕРЖАНИЯ ФЕНОЛЬНЫХ СОЕДИНЕНИЙ В НЕКОТОРЫХ ЛЕКАРСТВЕННЫХ РАСТЕНИЯХ</dc:title>
</cp:coreProperties>
</file>