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588" w:rsidRPr="00A56588" w:rsidRDefault="00A56588" w:rsidP="00A56588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</w:pPr>
      <w:r w:rsidRPr="00A56588">
        <w:rPr>
          <w:rFonts w:ascii="Arial" w:eastAsia="Times New Roman" w:hAnsi="Arial" w:cs="Arial"/>
          <w:b/>
          <w:bCs/>
          <w:color w:val="747474"/>
          <w:spacing w:val="8"/>
          <w:sz w:val="21"/>
          <w:szCs w:val="21"/>
          <w:lang w:eastAsia="ru-RU"/>
        </w:rPr>
        <w:t>ОДАРЕННОСТЬ: УСЛОВИЯ И ФАКТОРЫ</w:t>
      </w:r>
    </w:p>
    <w:p w:rsidR="00A56588" w:rsidRPr="00A56588" w:rsidRDefault="00A56588" w:rsidP="00A56588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</w:pP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 xml:space="preserve">25-26 сентября 2020 г., г. </w:t>
      </w:r>
      <w:proofErr w:type="spellStart"/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Будва</w:t>
      </w:r>
      <w:proofErr w:type="spellEnd"/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, Черногория</w:t>
      </w:r>
    </w:p>
    <w:p w:rsidR="00A56588" w:rsidRPr="00A56588" w:rsidRDefault="00A56588" w:rsidP="00A56588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</w:pP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В последние несколько десятилетий государственная политика многих стран обратила внимание на одаренных детей как на серьезный ресурс развит</w:t>
      </w:r>
      <w:r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ия своего общества. Одаренность является</w:t>
      </w: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 xml:space="preserve"> особым социальным явлением, хотя чаще всего исследуется как качество психики, определяющее способность к успешному выполнению деятельности, достижению высоких и незаурядных результатов.</w:t>
      </w:r>
    </w:p>
    <w:p w:rsidR="00A56588" w:rsidRPr="00A56588" w:rsidRDefault="00A56588" w:rsidP="00A56588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</w:pP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Существуют и другие конструкты одаренности, например, в рамках идеи о свободе воли человека, распространяющейся на его свободу развивать свои способности, достигать идеала, даже если они изначально являются врожденными, дарованными. К детерминант</w:t>
      </w:r>
      <w:r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ам развития одаренности относят</w:t>
      </w: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 xml:space="preserve"> природные, божественные, средовые предпосылки – влияние физической и социальной среды, возможности обучения и воспитания.</w:t>
      </w:r>
    </w:p>
    <w:p w:rsidR="00A56588" w:rsidRPr="00A56588" w:rsidRDefault="00A56588" w:rsidP="00A56588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Эмпирические психологические</w:t>
      </w: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 исследования, проведенные в разных странах, показывают, что одаренность имеет свойство развиваться в течение жизни; факторы образовательной среды взаимодействуют с уникальными генетическими особенностями обучающихся, в итоге чего появляются яркие индивидуальные различия в способностях к обучению, в мотивации обучения, в достижениях в определенных предметных областях. Способности могут и не проявиться без определенных средовых условий. С другой стороны, выявление и развитие одаренности у ребенка</w:t>
      </w:r>
      <w:r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 xml:space="preserve"> даже с самого раннего возраста</w:t>
      </w: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 xml:space="preserve"> не дает гарантии, что по завершении образования его одаренность сохранится и достигнет высокого уровня развития.</w:t>
      </w:r>
    </w:p>
    <w:p w:rsidR="00A56588" w:rsidRPr="00A56588" w:rsidRDefault="00A56588" w:rsidP="00A56588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</w:pP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Мы приглашаем принять участие в совместном поиске и обсуждении условий и факторов, влияющих на развитие одаренности.</w:t>
      </w:r>
    </w:p>
    <w:p w:rsidR="00A56588" w:rsidRPr="00A56588" w:rsidRDefault="00A56588" w:rsidP="00A56588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</w:pPr>
      <w:r w:rsidRPr="00A56588">
        <w:rPr>
          <w:rFonts w:ascii="Arial" w:eastAsia="Times New Roman" w:hAnsi="Arial" w:cs="Arial"/>
          <w:b/>
          <w:bCs/>
          <w:color w:val="747474"/>
          <w:spacing w:val="8"/>
          <w:sz w:val="21"/>
          <w:szCs w:val="21"/>
          <w:lang w:eastAsia="ru-RU"/>
        </w:rPr>
        <w:t>Направления работы конференции:</w:t>
      </w:r>
    </w:p>
    <w:p w:rsidR="00A56588" w:rsidRPr="00A56588" w:rsidRDefault="00A56588" w:rsidP="00A565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</w:pP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сущность феномена одаренности, концепции и модели одаренности;</w:t>
      </w:r>
    </w:p>
    <w:p w:rsidR="00A56588" w:rsidRPr="00A56588" w:rsidRDefault="00A56588" w:rsidP="00A565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</w:pP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 xml:space="preserve">социальные и </w:t>
      </w:r>
      <w:proofErr w:type="spellStart"/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внутриличностностные</w:t>
      </w:r>
      <w:proofErr w:type="spellEnd"/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 xml:space="preserve"> условия и факторы развития одаренности;</w:t>
      </w:r>
    </w:p>
    <w:p w:rsidR="00A56588" w:rsidRPr="00A56588" w:rsidRDefault="00A56588" w:rsidP="00A565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</w:pP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виды одаренности и формы их проявления;</w:t>
      </w:r>
    </w:p>
    <w:p w:rsidR="00A56588" w:rsidRPr="00A56588" w:rsidRDefault="00A56588" w:rsidP="00A565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</w:pP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образовательная среда как фактор развития одаренности;</w:t>
      </w:r>
    </w:p>
    <w:p w:rsidR="00A56588" w:rsidRPr="00A56588" w:rsidRDefault="00A56588" w:rsidP="00A565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</w:pP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способы и методы исследования одаренности детей и подростков</w:t>
      </w:r>
    </w:p>
    <w:p w:rsidR="00A56588" w:rsidRPr="00A56588" w:rsidRDefault="00A56588" w:rsidP="00A565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</w:pP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самосознание одаренных, когнитивная репрезентация самосознания одаренных;</w:t>
      </w:r>
    </w:p>
    <w:p w:rsidR="00A56588" w:rsidRPr="00A56588" w:rsidRDefault="00A56588" w:rsidP="00A565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</w:pP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возрастные особенности одаренных (младший школьный возраст, подростки, юношеский возраст);</w:t>
      </w:r>
    </w:p>
    <w:p w:rsidR="00A56588" w:rsidRPr="00A56588" w:rsidRDefault="00A56588" w:rsidP="00A565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</w:pP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коллективистическая и индивидуалистическая направленность как факторы развития одаренности;</w:t>
      </w:r>
    </w:p>
    <w:p w:rsidR="00A56588" w:rsidRPr="00A56588" w:rsidRDefault="00A56588" w:rsidP="00A565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</w:pP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проблемы диагностики одаренности.</w:t>
      </w:r>
    </w:p>
    <w:p w:rsidR="00A56588" w:rsidRPr="00A56588" w:rsidRDefault="00A56588" w:rsidP="00A56588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</w:pPr>
      <w:r w:rsidRPr="00A56588">
        <w:rPr>
          <w:rFonts w:ascii="Arial" w:eastAsia="Times New Roman" w:hAnsi="Arial" w:cs="Arial"/>
          <w:b/>
          <w:bCs/>
          <w:color w:val="747474"/>
          <w:spacing w:val="8"/>
          <w:sz w:val="21"/>
          <w:szCs w:val="21"/>
          <w:lang w:eastAsia="ru-RU"/>
        </w:rPr>
        <w:t>К участию в конференции приглашаются</w:t>
      </w: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 ученые, докторанты, аспиранты, практикующие специалисты, магистранты, студенты.</w:t>
      </w:r>
      <w:r w:rsidRPr="00A56588">
        <w:rPr>
          <w:rFonts w:ascii="Arial" w:eastAsia="Times New Roman" w:hAnsi="Arial" w:cs="Arial"/>
          <w:b/>
          <w:bCs/>
          <w:color w:val="747474"/>
          <w:spacing w:val="8"/>
          <w:sz w:val="21"/>
          <w:szCs w:val="21"/>
          <w:lang w:eastAsia="ru-RU"/>
        </w:rPr>
        <w:t> Форма участия:</w:t>
      </w: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 очная, заочная, в качестве слушателя.  Участие в конференции и публикация </w:t>
      </w:r>
      <w:r w:rsidRPr="00A56588">
        <w:rPr>
          <w:rFonts w:ascii="Arial" w:eastAsia="Times New Roman" w:hAnsi="Arial" w:cs="Arial"/>
          <w:b/>
          <w:bCs/>
          <w:color w:val="747474"/>
          <w:spacing w:val="8"/>
          <w:sz w:val="21"/>
          <w:szCs w:val="21"/>
          <w:lang w:eastAsia="ru-RU"/>
        </w:rPr>
        <w:t>бесплатные</w:t>
      </w: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. Расходы, связанные с перелетом и проживанием участника, оплачивает направляющая сторона.</w:t>
      </w:r>
    </w:p>
    <w:p w:rsidR="00A56588" w:rsidRPr="00A56588" w:rsidRDefault="00A56588" w:rsidP="00A56588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</w:pPr>
      <w:r w:rsidRPr="00A56588">
        <w:rPr>
          <w:rFonts w:ascii="Arial" w:eastAsia="Times New Roman" w:hAnsi="Arial" w:cs="Arial"/>
          <w:b/>
          <w:bCs/>
          <w:color w:val="747474"/>
          <w:spacing w:val="8"/>
          <w:sz w:val="21"/>
          <w:szCs w:val="21"/>
          <w:lang w:eastAsia="ru-RU"/>
        </w:rPr>
        <w:t>Для участия в конференции необходимо </w:t>
      </w: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заполнить электронную заявку и приложить к ней тезисы доклада (рекомендуемый объем 1000 слов). Перед отправкой тезисов, пожалуйста, ознакомьтесь с </w:t>
      </w:r>
      <w:hyperlink r:id="rId5" w:history="1">
        <w:r w:rsidRPr="00A56588">
          <w:rPr>
            <w:rFonts w:ascii="Arial" w:eastAsia="Times New Roman" w:hAnsi="Arial" w:cs="Arial"/>
            <w:b/>
            <w:bCs/>
            <w:color w:val="00A3C8"/>
            <w:spacing w:val="8"/>
            <w:sz w:val="21"/>
            <w:szCs w:val="21"/>
            <w:u w:val="single"/>
            <w:lang w:eastAsia="ru-RU"/>
          </w:rPr>
          <w:t>требованиями</w:t>
        </w:r>
      </w:hyperlink>
      <w:r w:rsidRPr="00A56588">
        <w:rPr>
          <w:rFonts w:ascii="Arial" w:eastAsia="Times New Roman" w:hAnsi="Arial" w:cs="Arial"/>
          <w:b/>
          <w:bCs/>
          <w:color w:val="747474"/>
          <w:spacing w:val="8"/>
          <w:sz w:val="21"/>
          <w:szCs w:val="21"/>
          <w:lang w:eastAsia="ru-RU"/>
        </w:rPr>
        <w:t>. </w:t>
      </w:r>
    </w:p>
    <w:p w:rsidR="00A56588" w:rsidRPr="00A56588" w:rsidRDefault="00A56588" w:rsidP="00A56588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</w:pP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lastRenderedPageBreak/>
        <w:t>Материалы конференции, одобренные редколлегией, будут </w:t>
      </w:r>
      <w:r w:rsidRPr="00A56588">
        <w:rPr>
          <w:rFonts w:ascii="Arial" w:eastAsia="Times New Roman" w:hAnsi="Arial" w:cs="Arial"/>
          <w:b/>
          <w:bCs/>
          <w:color w:val="747474"/>
          <w:spacing w:val="8"/>
          <w:sz w:val="21"/>
          <w:szCs w:val="21"/>
          <w:lang w:eastAsia="ru-RU"/>
        </w:rPr>
        <w:t>опубликованы</w:t>
      </w: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в электронном научном сборнике </w:t>
      </w:r>
      <w:bookmarkStart w:id="0" w:name="_GoBack"/>
      <w:bookmarkEnd w:id="0"/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(индексация РИНЦ).</w:t>
      </w:r>
    </w:p>
    <w:p w:rsidR="00A56588" w:rsidRPr="00A56588" w:rsidRDefault="00A56588" w:rsidP="00A56588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</w:pPr>
      <w:r w:rsidRPr="00A56588">
        <w:rPr>
          <w:rFonts w:ascii="Arial" w:eastAsia="Times New Roman" w:hAnsi="Arial" w:cs="Arial"/>
          <w:b/>
          <w:bCs/>
          <w:color w:val="747474"/>
          <w:spacing w:val="8"/>
          <w:sz w:val="21"/>
          <w:szCs w:val="21"/>
          <w:lang w:eastAsia="ru-RU"/>
        </w:rPr>
        <w:t>Организаторы:</w:t>
      </w: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 ГБНОУ СО «Академия для одаренных детей (</w:t>
      </w:r>
      <w:proofErr w:type="spellStart"/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Наяновой</w:t>
      </w:r>
      <w:proofErr w:type="spellEnd"/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)», Центр образования «</w:t>
      </w:r>
      <w:proofErr w:type="spellStart"/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Дукли</w:t>
      </w:r>
      <w:proofErr w:type="spellEnd"/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 xml:space="preserve"> Академия» (Республика Черногория), Союз ученых «Институт изучения общественных явлений».</w:t>
      </w:r>
    </w:p>
    <w:p w:rsidR="00A56588" w:rsidRPr="00A56588" w:rsidRDefault="00A56588" w:rsidP="00A56588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</w:pP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Конференция проводится в рамках проекта «Возрастная динамика когнитивной репрезентации социальной идентичности одаренных», осуществляемого при поддержке Российского фонда фундаментальных исследований (проект 20-013-00567).</w:t>
      </w:r>
    </w:p>
    <w:p w:rsidR="00A56588" w:rsidRPr="00A56588" w:rsidRDefault="00A56588" w:rsidP="00A56588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</w:pPr>
      <w:r w:rsidRPr="00A56588">
        <w:rPr>
          <w:rFonts w:ascii="Arial" w:eastAsia="Times New Roman" w:hAnsi="Arial" w:cs="Arial"/>
          <w:b/>
          <w:bCs/>
          <w:color w:val="747474"/>
          <w:spacing w:val="8"/>
          <w:sz w:val="21"/>
          <w:szCs w:val="21"/>
          <w:lang w:eastAsia="ru-RU"/>
        </w:rPr>
        <w:t>Место проведения:</w:t>
      </w: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 xml:space="preserve"> г. </w:t>
      </w:r>
      <w:proofErr w:type="spellStart"/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Будва</w:t>
      </w:r>
      <w:proofErr w:type="spellEnd"/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, Черногория. Подробная информация о месте и времени проведения будет опубликована в ближайшее время.</w:t>
      </w:r>
    </w:p>
    <w:p w:rsidR="00A56588" w:rsidRPr="00A56588" w:rsidRDefault="00A56588" w:rsidP="00A56588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</w:pPr>
      <w:r w:rsidRPr="00A56588">
        <w:rPr>
          <w:rFonts w:ascii="Arial" w:eastAsia="Times New Roman" w:hAnsi="Arial" w:cs="Arial"/>
          <w:b/>
          <w:bCs/>
          <w:color w:val="747474"/>
          <w:spacing w:val="8"/>
          <w:sz w:val="21"/>
          <w:szCs w:val="21"/>
          <w:lang w:eastAsia="ru-RU"/>
        </w:rPr>
        <w:t>Сроки:</w:t>
      </w:r>
    </w:p>
    <w:p w:rsidR="00A56588" w:rsidRPr="00A56588" w:rsidRDefault="00A56588" w:rsidP="00A56588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</w:pP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10 сентября 2020 г. – окончание приема тезисов для участия в конференции,</w:t>
      </w: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br/>
        <w:t>12 сентября 2020 г. – оповещение участников о результатах отбора,</w:t>
      </w: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br/>
        <w:t>25 – 26 сентября 2020 – очный этап конференции.</w:t>
      </w:r>
    </w:p>
    <w:p w:rsidR="00A56588" w:rsidRPr="00A56588" w:rsidRDefault="00A56588" w:rsidP="00A56588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</w:pPr>
      <w:r w:rsidRPr="00A56588"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  <w:t>Обращаем ваше внимание, что рецензия тезисов может занимать до 5 дней, поэтому рекомендуем отправить заявку как можно раньше.</w:t>
      </w:r>
    </w:p>
    <w:p w:rsidR="00E720E2" w:rsidRDefault="00E720E2"/>
    <w:sectPr w:rsidR="00E7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22C3C"/>
    <w:multiLevelType w:val="multilevel"/>
    <w:tmpl w:val="844A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77"/>
    <w:rsid w:val="00873577"/>
    <w:rsid w:val="00A56588"/>
    <w:rsid w:val="00E7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AE9A"/>
  <w15:chartTrackingRefBased/>
  <w15:docId w15:val="{B7BA4EE4-5E2C-44B6-A01E-5ADC4868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A5658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A5658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A5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6588"/>
    <w:rPr>
      <w:b/>
      <w:bCs/>
    </w:rPr>
  </w:style>
  <w:style w:type="character" w:styleId="a5">
    <w:name w:val="Hyperlink"/>
    <w:basedOn w:val="a0"/>
    <w:uiPriority w:val="99"/>
    <w:semiHidden/>
    <w:unhideWhenUsed/>
    <w:rsid w:val="00A565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ournal.socialphenomena.org/ru/submiss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3</cp:revision>
  <dcterms:created xsi:type="dcterms:W3CDTF">2020-08-11T16:09:00Z</dcterms:created>
  <dcterms:modified xsi:type="dcterms:W3CDTF">2020-08-11T16:11:00Z</dcterms:modified>
</cp:coreProperties>
</file>